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9" w:rsidRDefault="004A79E9">
      <w:pPr>
        <w:spacing w:before="240" w:after="240" w:line="240" w:lineRule="auto"/>
        <w:jc w:val="center"/>
        <w:rPr>
          <w:b/>
          <w:color w:val="000000"/>
          <w:sz w:val="27"/>
          <w:shd w:val="clear" w:color="auto" w:fill="FFFFFF"/>
        </w:rPr>
      </w:pPr>
      <w:r>
        <w:rPr>
          <w:b/>
          <w:color w:val="000000"/>
          <w:sz w:val="27"/>
          <w:shd w:val="clear" w:color="auto" w:fill="FFFFFF"/>
        </w:rPr>
        <w:t>ИЗВЕЩЕНИЕ</w:t>
      </w:r>
    </w:p>
    <w:p w:rsidR="00105C89" w:rsidRDefault="004A79E9">
      <w:pPr>
        <w:spacing w:before="240" w:after="240" w:line="240" w:lineRule="auto"/>
        <w:jc w:val="center"/>
        <w:rPr>
          <w:rFonts w:ascii="Arial" w:hAnsi="Arial"/>
          <w:color w:val="000000"/>
          <w:sz w:val="20"/>
          <w:shd w:val="clear" w:color="auto" w:fill="FFFFFF"/>
        </w:rPr>
      </w:pPr>
      <w:r>
        <w:rPr>
          <w:b/>
          <w:color w:val="000000"/>
          <w:sz w:val="27"/>
          <w:shd w:val="clear" w:color="auto" w:fill="FFFFFF"/>
        </w:rPr>
        <w:t xml:space="preserve">об утверждении результатов определения кадастровой стоимости  </w:t>
      </w:r>
    </w:p>
    <w:p w:rsidR="00105C89" w:rsidRDefault="004A79E9">
      <w:pPr>
        <w:spacing w:after="0"/>
        <w:jc w:val="both"/>
        <w:rPr>
          <w:color w:val="212121"/>
          <w:sz w:val="28"/>
        </w:rPr>
      </w:pPr>
      <w:r>
        <w:rPr>
          <w:color w:val="000000"/>
          <w:sz w:val="27"/>
          <w:shd w:val="clear" w:color="auto" w:fill="FFFFFF"/>
        </w:rPr>
        <w:t xml:space="preserve">  </w:t>
      </w:r>
      <w:r>
        <w:rPr>
          <w:color w:val="000000"/>
          <w:sz w:val="28"/>
          <w:shd w:val="clear" w:color="auto" w:fill="FFFFFF"/>
        </w:rPr>
        <w:t xml:space="preserve"> Департамент финансов, экономики и имущественных отношений Чукотского автономного округа (далее – Департамент) извещает, что в соответствии с  приказом Департамента </w:t>
      </w:r>
      <w:r>
        <w:rPr>
          <w:sz w:val="28"/>
          <w:shd w:val="clear" w:color="auto" w:fill="FFFFFF"/>
        </w:rPr>
        <w:t>от 15.08.2019 №</w:t>
      </w:r>
      <w:r w:rsidR="007A3704">
        <w:rPr>
          <w:sz w:val="28"/>
          <w:shd w:val="clear" w:color="auto" w:fill="FFFFFF"/>
        </w:rPr>
        <w:t xml:space="preserve"> 186-р «</w:t>
      </w:r>
      <w:r>
        <w:rPr>
          <w:sz w:val="28"/>
          <w:shd w:val="clear" w:color="auto" w:fill="FFFFFF"/>
        </w:rPr>
        <w:t>О проведении гос</w:t>
      </w:r>
      <w:r w:rsidR="007A3704">
        <w:rPr>
          <w:sz w:val="28"/>
          <w:shd w:val="clear" w:color="auto" w:fill="FFFFFF"/>
        </w:rPr>
        <w:t>ударственной кадастровой оценки»</w:t>
      </w:r>
      <w:r>
        <w:rPr>
          <w:sz w:val="28"/>
          <w:shd w:val="clear" w:color="auto" w:fill="FFFFFF"/>
        </w:rPr>
        <w:t xml:space="preserve"> Государственным бюджетным учреждением Чукотского автономного округа "Центр Государственной кадастровой оценки и технического архива Чукотского автономного округа" (далее - Учреждение)</w:t>
      </w:r>
      <w:r>
        <w:rPr>
          <w:sz w:val="28"/>
        </w:rPr>
        <w:t xml:space="preserve"> проведены работы по государственной кадастровой оценке </w:t>
      </w:r>
      <w:r>
        <w:rPr>
          <w:color w:val="000000"/>
          <w:sz w:val="28"/>
          <w:shd w:val="clear" w:color="auto" w:fill="FFFFFF"/>
        </w:rPr>
        <w:t xml:space="preserve"> всех объектов недвижимости (за исключением земельных участков), земельных участков в составе земель населенных пунктов, земельных участков в составе земель сельскохозяйственного назначения и земельных участков в составе земель лестного фонда, расположенных на территории Чукотского автономного округа.</w:t>
      </w:r>
      <w:r>
        <w:rPr>
          <w:color w:val="000000"/>
          <w:sz w:val="28"/>
          <w:shd w:val="clear" w:color="auto" w:fill="FFFFFF"/>
        </w:rPr>
        <w:br/>
        <w:t>      Результаты государственной кадастровой оценки утверждены приказами Департамента:</w:t>
      </w:r>
    </w:p>
    <w:p w:rsidR="00105C89" w:rsidRDefault="008E7467" w:rsidP="00E57DDB">
      <w:pPr>
        <w:numPr>
          <w:ilvl w:val="0"/>
          <w:numId w:val="1"/>
        </w:numPr>
        <w:spacing w:line="275" w:lineRule="auto"/>
        <w:jc w:val="both"/>
        <w:rPr>
          <w:color w:val="212121"/>
          <w:sz w:val="28"/>
        </w:rPr>
      </w:pPr>
      <w:r>
        <w:rPr>
          <w:color w:val="000000"/>
          <w:sz w:val="28"/>
          <w:shd w:val="clear" w:color="auto" w:fill="FFFFFF"/>
        </w:rPr>
        <w:t>От 23.11.2020 № 160</w:t>
      </w:r>
      <w:r w:rsidR="007A3704">
        <w:rPr>
          <w:color w:val="000000"/>
          <w:sz w:val="28"/>
          <w:shd w:val="clear" w:color="auto" w:fill="FFFFFF"/>
        </w:rPr>
        <w:t xml:space="preserve"> «</w:t>
      </w:r>
      <w:r w:rsidR="00E57DDB" w:rsidRPr="00E57DDB">
        <w:rPr>
          <w:color w:val="000000"/>
          <w:sz w:val="28"/>
          <w:shd w:val="clear" w:color="auto" w:fill="FFFFFF"/>
        </w:rPr>
        <w:t>Об утверждении результатов определения кадастровой стоимости всех видов объектов недвижимости, за исключением земельных участков, на территори</w:t>
      </w:r>
      <w:r w:rsidR="007A3704">
        <w:rPr>
          <w:color w:val="000000"/>
          <w:sz w:val="28"/>
          <w:shd w:val="clear" w:color="auto" w:fill="FFFFFF"/>
        </w:rPr>
        <w:t>и Чукотского автономного округа»</w:t>
      </w:r>
      <w:r w:rsidR="004A79E9">
        <w:rPr>
          <w:color w:val="000000"/>
          <w:sz w:val="28"/>
          <w:shd w:val="clear" w:color="auto" w:fill="FFFFFF"/>
        </w:rPr>
        <w:t>;</w:t>
      </w:r>
    </w:p>
    <w:p w:rsidR="00E57DDB" w:rsidRPr="00E57DDB" w:rsidRDefault="00E57DDB" w:rsidP="00E57DDB">
      <w:pPr>
        <w:pStyle w:val="a5"/>
        <w:numPr>
          <w:ilvl w:val="0"/>
          <w:numId w:val="1"/>
        </w:numPr>
        <w:jc w:val="both"/>
        <w:rPr>
          <w:color w:val="212121"/>
          <w:sz w:val="28"/>
        </w:rPr>
      </w:pPr>
      <w:r>
        <w:rPr>
          <w:color w:val="212121"/>
          <w:sz w:val="28"/>
        </w:rPr>
        <w:t>О</w:t>
      </w:r>
      <w:r w:rsidR="007A3704">
        <w:rPr>
          <w:color w:val="212121"/>
          <w:sz w:val="28"/>
        </w:rPr>
        <w:t>т 23.11.2020 № 161 «</w:t>
      </w:r>
      <w:r w:rsidRPr="00E57DDB">
        <w:rPr>
          <w:color w:val="212121"/>
          <w:sz w:val="28"/>
        </w:rPr>
        <w:t xml:space="preserve">Об утверждении результатов определения кадастровой стоимости земельных участков в составе земель лесного фонда на территории </w:t>
      </w:r>
      <w:r w:rsidR="007A3704">
        <w:rPr>
          <w:color w:val="212121"/>
          <w:sz w:val="28"/>
        </w:rPr>
        <w:t>Чукотского автономного округа»</w:t>
      </w:r>
      <w:r>
        <w:rPr>
          <w:color w:val="212121"/>
          <w:sz w:val="28"/>
        </w:rPr>
        <w:t>;</w:t>
      </w:r>
    </w:p>
    <w:p w:rsidR="00105C89" w:rsidRDefault="008E7467" w:rsidP="008E7467">
      <w:pPr>
        <w:numPr>
          <w:ilvl w:val="0"/>
          <w:numId w:val="1"/>
        </w:numPr>
        <w:spacing w:line="275" w:lineRule="auto"/>
        <w:jc w:val="both"/>
        <w:rPr>
          <w:color w:val="212121"/>
          <w:sz w:val="28"/>
        </w:rPr>
      </w:pPr>
      <w:r>
        <w:rPr>
          <w:color w:val="000000"/>
          <w:sz w:val="28"/>
          <w:shd w:val="clear" w:color="auto" w:fill="FFFFFF"/>
        </w:rPr>
        <w:t>От 23.11.2020 № 162</w:t>
      </w:r>
      <w:r w:rsidR="007A3704">
        <w:rPr>
          <w:color w:val="000000"/>
          <w:sz w:val="28"/>
          <w:shd w:val="clear" w:color="auto" w:fill="FFFFFF"/>
        </w:rPr>
        <w:t xml:space="preserve"> «</w:t>
      </w:r>
      <w:r w:rsidRPr="008E7467">
        <w:rPr>
          <w:color w:val="000000"/>
          <w:sz w:val="28"/>
          <w:shd w:val="clear" w:color="auto" w:fill="FFFFFF"/>
        </w:rPr>
        <w:t>Об утверждении результатов определения кадастровой стоимости земельных участков в составе земель сельскохозяйственного назначения на территори</w:t>
      </w:r>
      <w:r w:rsidR="007A3704">
        <w:rPr>
          <w:color w:val="000000"/>
          <w:sz w:val="28"/>
          <w:shd w:val="clear" w:color="auto" w:fill="FFFFFF"/>
        </w:rPr>
        <w:t>и Чукотского автономного округа»</w:t>
      </w:r>
      <w:r w:rsidR="004A79E9">
        <w:rPr>
          <w:color w:val="000000"/>
          <w:sz w:val="28"/>
          <w:shd w:val="clear" w:color="auto" w:fill="FFFFFF"/>
        </w:rPr>
        <w:t>;</w:t>
      </w:r>
    </w:p>
    <w:p w:rsidR="00105C89" w:rsidRDefault="009E75E4" w:rsidP="008E7467">
      <w:pPr>
        <w:numPr>
          <w:ilvl w:val="0"/>
          <w:numId w:val="1"/>
        </w:numPr>
        <w:spacing w:line="275" w:lineRule="auto"/>
        <w:jc w:val="both"/>
        <w:rPr>
          <w:color w:val="212121"/>
          <w:sz w:val="28"/>
        </w:rPr>
      </w:pPr>
      <w:r>
        <w:rPr>
          <w:color w:val="000000"/>
          <w:sz w:val="28"/>
          <w:shd w:val="clear" w:color="auto" w:fill="FFFFFF"/>
        </w:rPr>
        <w:t>О</w:t>
      </w:r>
      <w:r w:rsidR="008E7467">
        <w:rPr>
          <w:color w:val="000000"/>
          <w:sz w:val="28"/>
          <w:shd w:val="clear" w:color="auto" w:fill="FFFFFF"/>
        </w:rPr>
        <w:t>т 23.11.2020 № 163</w:t>
      </w:r>
      <w:r w:rsidR="007A3704">
        <w:rPr>
          <w:color w:val="000000"/>
          <w:sz w:val="28"/>
          <w:shd w:val="clear" w:color="auto" w:fill="FFFFFF"/>
        </w:rPr>
        <w:t xml:space="preserve"> «</w:t>
      </w:r>
      <w:r w:rsidR="008E7467" w:rsidRPr="008E7467">
        <w:rPr>
          <w:color w:val="000000"/>
          <w:sz w:val="28"/>
          <w:shd w:val="clear" w:color="auto" w:fill="FFFFFF"/>
        </w:rPr>
        <w:t>Об утверждении результатов определения кадастровой стоимости земельных участков в составе земель населенных пунктов на территори</w:t>
      </w:r>
      <w:r w:rsidR="007A3704">
        <w:rPr>
          <w:color w:val="000000"/>
          <w:sz w:val="28"/>
          <w:shd w:val="clear" w:color="auto" w:fill="FFFFFF"/>
        </w:rPr>
        <w:t>и Чукотского автономного округа»</w:t>
      </w:r>
      <w:r w:rsidR="00E57DDB">
        <w:rPr>
          <w:color w:val="000000"/>
          <w:sz w:val="28"/>
          <w:shd w:val="clear" w:color="auto" w:fill="FFFFFF"/>
        </w:rPr>
        <w:t>.</w:t>
      </w:r>
    </w:p>
    <w:p w:rsidR="00F21EAE" w:rsidRDefault="00F21EAE" w:rsidP="00315307">
      <w:pPr>
        <w:spacing w:after="180"/>
        <w:ind w:firstLine="555"/>
        <w:jc w:val="both"/>
        <w:rPr>
          <w:sz w:val="28"/>
          <w:shd w:val="clear" w:color="auto" w:fill="FFFFFF"/>
        </w:rPr>
      </w:pPr>
      <w:r w:rsidRPr="00F21EAE">
        <w:rPr>
          <w:sz w:val="28"/>
          <w:shd w:val="clear" w:color="auto" w:fill="FFFFFF"/>
        </w:rPr>
        <w:t>Указанные приказы  размещены на официальном интернет-портале правовой информации www.pravo</w:t>
      </w:r>
      <w:r>
        <w:rPr>
          <w:sz w:val="28"/>
          <w:shd w:val="clear" w:color="auto" w:fill="FFFFFF"/>
        </w:rPr>
        <w:t>.gov.ru  -  26 ноября 2020 года</w:t>
      </w:r>
      <w:r w:rsidRPr="00F21EAE">
        <w:rPr>
          <w:sz w:val="28"/>
          <w:shd w:val="clear" w:color="auto" w:fill="FFFFFF"/>
        </w:rPr>
        <w:t xml:space="preserve">, на официальном сайте Чукотского автономного округа www.чукотка.рф, на </w:t>
      </w:r>
      <w:r w:rsidRPr="00F21EAE">
        <w:rPr>
          <w:sz w:val="28"/>
          <w:shd w:val="clear" w:color="auto" w:fill="FFFFFF"/>
        </w:rPr>
        <w:lastRenderedPageBreak/>
        <w:t>официальном сайте Учреждения https://btigko87.ru , опубликованы в  газете «Крайний Север» -  27 ноября 2020 года  и вступают в силу по истечении одного месяца после дня</w:t>
      </w:r>
      <w:r>
        <w:rPr>
          <w:sz w:val="28"/>
          <w:shd w:val="clear" w:color="auto" w:fill="FFFFFF"/>
        </w:rPr>
        <w:t xml:space="preserve"> их официального опубликования - 27 декабря 2020 года</w:t>
      </w:r>
      <w:r w:rsidRPr="00F21EAE">
        <w:rPr>
          <w:sz w:val="28"/>
          <w:shd w:val="clear" w:color="auto" w:fill="FFFFFF"/>
        </w:rPr>
        <w:t>.</w:t>
      </w:r>
    </w:p>
    <w:p w:rsidR="00105C89" w:rsidRDefault="004A79E9" w:rsidP="00315307">
      <w:pPr>
        <w:spacing w:after="180"/>
        <w:ind w:firstLine="555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Рассмотрение заявления об исправлении ошибок, допущенных при определении кадастровой стоимости  (далее - Заявление) осуществляется  Учреждением  в соответствии со статьей 21 Федерального закона от 3 июля 2016 г. № 237-ФЗ «О государственной кадастровой оценке».</w:t>
      </w:r>
    </w:p>
    <w:p w:rsidR="00105C89" w:rsidRDefault="004A79E9">
      <w:pPr>
        <w:spacing w:after="0"/>
        <w:ind w:firstLine="555"/>
        <w:jc w:val="both"/>
        <w:rPr>
          <w:color w:val="000000"/>
          <w:sz w:val="28"/>
        </w:rPr>
      </w:pPr>
      <w:bookmarkStart w:id="0" w:name="BLOCK_215"/>
      <w:bookmarkStart w:id="1" w:name="P_9238"/>
      <w:bookmarkEnd w:id="0"/>
      <w:bookmarkEnd w:id="1"/>
      <w:r>
        <w:rPr>
          <w:color w:val="000000"/>
          <w:sz w:val="28"/>
        </w:rPr>
        <w:t>Заявление  вправе подать любые юридические и физические лиц</w:t>
      </w:r>
      <w:bookmarkStart w:id="2" w:name="_GoBack"/>
      <w:bookmarkEnd w:id="2"/>
      <w:r>
        <w:rPr>
          <w:color w:val="000000"/>
          <w:sz w:val="28"/>
        </w:rPr>
        <w:t>а, а также органы государственной власти и органы местного самоуправления.</w:t>
      </w:r>
    </w:p>
    <w:p w:rsidR="00105C89" w:rsidRDefault="004A79E9">
      <w:pPr>
        <w:spacing w:after="0"/>
        <w:ind w:firstLine="555"/>
        <w:jc w:val="both"/>
        <w:rPr>
          <w:color w:val="000000"/>
          <w:sz w:val="28"/>
        </w:rPr>
      </w:pPr>
      <w:bookmarkStart w:id="3" w:name="BLOCK_216"/>
      <w:bookmarkStart w:id="4" w:name="P_9239"/>
      <w:bookmarkEnd w:id="3"/>
      <w:bookmarkEnd w:id="4"/>
      <w:r>
        <w:rPr>
          <w:color w:val="000000"/>
          <w:sz w:val="28"/>
        </w:rPr>
        <w:t>Заявление 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105C89" w:rsidRDefault="00105C89">
      <w:pPr>
        <w:spacing w:after="180"/>
        <w:ind w:firstLine="555"/>
        <w:jc w:val="both"/>
        <w:rPr>
          <w:color w:val="1A1A1A"/>
          <w:sz w:val="28"/>
          <w:shd w:val="clear" w:color="auto" w:fill="FFFFFF"/>
        </w:rPr>
      </w:pPr>
    </w:p>
    <w:p w:rsidR="00105C89" w:rsidRDefault="004A79E9">
      <w:pPr>
        <w:spacing w:after="180"/>
        <w:ind w:firstLine="555"/>
        <w:jc w:val="both"/>
        <w:rPr>
          <w:color w:val="1A1A1A"/>
          <w:sz w:val="28"/>
          <w:shd w:val="clear" w:color="auto" w:fill="FFFFFF"/>
        </w:rPr>
      </w:pPr>
      <w:r>
        <w:rPr>
          <w:color w:val="1A1A1A"/>
          <w:sz w:val="28"/>
          <w:shd w:val="clear" w:color="auto" w:fill="FFFFFF"/>
        </w:rPr>
        <w:t>Заявление должно содержать:</w:t>
      </w:r>
    </w:p>
    <w:p w:rsidR="00105C89" w:rsidRDefault="004A79E9">
      <w:pPr>
        <w:spacing w:after="0"/>
        <w:ind w:firstLine="555"/>
        <w:jc w:val="both"/>
        <w:rPr>
          <w:color w:val="000000"/>
          <w:sz w:val="28"/>
          <w:shd w:val="clear" w:color="auto" w:fill="FFFFFF"/>
        </w:rPr>
      </w:pPr>
      <w:bookmarkStart w:id="5" w:name="BLOCK_2191"/>
      <w:bookmarkStart w:id="6" w:name="P_9242"/>
      <w:bookmarkEnd w:id="5"/>
      <w:bookmarkEnd w:id="6"/>
      <w:r>
        <w:rPr>
          <w:color w:val="000000"/>
          <w:sz w:val="28"/>
          <w:shd w:val="clear" w:color="auto" w:fill="FFFFFF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05C89" w:rsidRDefault="004A79E9">
      <w:pPr>
        <w:spacing w:after="0"/>
        <w:ind w:firstLine="555"/>
        <w:jc w:val="both"/>
        <w:rPr>
          <w:color w:val="000000"/>
          <w:sz w:val="28"/>
          <w:shd w:val="clear" w:color="auto" w:fill="FFFFFF"/>
        </w:rPr>
      </w:pPr>
      <w:bookmarkStart w:id="7" w:name="BLOCK_2192"/>
      <w:bookmarkStart w:id="8" w:name="P_9243"/>
      <w:bookmarkEnd w:id="7"/>
      <w:bookmarkEnd w:id="8"/>
      <w:r>
        <w:rPr>
          <w:color w:val="000000"/>
          <w:sz w:val="28"/>
          <w:shd w:val="clear" w:color="auto" w:fill="FFFFFF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05C89" w:rsidRDefault="004A79E9">
      <w:pPr>
        <w:spacing w:after="0"/>
        <w:ind w:firstLine="555"/>
        <w:jc w:val="both"/>
        <w:rPr>
          <w:color w:val="000000"/>
          <w:sz w:val="28"/>
          <w:shd w:val="clear" w:color="auto" w:fill="FFFFFF"/>
        </w:rPr>
      </w:pPr>
      <w:bookmarkStart w:id="9" w:name="BLOCK_2193"/>
      <w:bookmarkStart w:id="10" w:name="P_9244"/>
      <w:bookmarkEnd w:id="9"/>
      <w:bookmarkEnd w:id="10"/>
      <w:r>
        <w:rPr>
          <w:color w:val="000000"/>
          <w:sz w:val="28"/>
          <w:shd w:val="clear" w:color="auto" w:fill="FFFFFF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105C89" w:rsidRDefault="004A79E9" w:rsidP="00315307">
      <w:pPr>
        <w:spacing w:after="180"/>
        <w:jc w:val="both"/>
        <w:rPr>
          <w:sz w:val="28"/>
          <w:shd w:val="clear" w:color="auto" w:fill="FFFFFF"/>
        </w:rPr>
      </w:pPr>
      <w:r>
        <w:rPr>
          <w:rFonts w:ascii="Arial" w:hAnsi="Arial"/>
          <w:b/>
          <w:color w:val="000000"/>
          <w:sz w:val="18"/>
        </w:rPr>
        <w:br/>
      </w:r>
      <w:r w:rsidR="00315307">
        <w:rPr>
          <w:sz w:val="28"/>
          <w:shd w:val="clear" w:color="auto" w:fill="FFFFFF"/>
        </w:rPr>
        <w:t xml:space="preserve">       </w:t>
      </w:r>
      <w:r>
        <w:rPr>
          <w:color w:val="000000"/>
          <w:sz w:val="28"/>
          <w:shd w:val="clear" w:color="auto" w:fill="FFFFFF"/>
        </w:rPr>
        <w:t xml:space="preserve">К Заявлению могут быть приложены документы, подтверждающие наличие указанных ошибок, а также </w:t>
      </w:r>
      <w:r>
        <w:rPr>
          <w:sz w:val="28"/>
          <w:shd w:val="clear" w:color="auto" w:fill="FFFFFF"/>
        </w:rPr>
        <w:t xml:space="preserve"> иные документы, содержащие сведения о характеристиках объекта недвижимости.</w:t>
      </w:r>
    </w:p>
    <w:p w:rsidR="00105C89" w:rsidRDefault="004A79E9">
      <w:pPr>
        <w:spacing w:after="180"/>
        <w:ind w:firstLine="555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Учреждение рассматривает Заявление в течение тридцати календарных дней со дня его поступления.</w:t>
      </w:r>
    </w:p>
    <w:p w:rsidR="00105C89" w:rsidRDefault="004A79E9" w:rsidP="00355408">
      <w:pPr>
        <w:spacing w:after="0"/>
        <w:ind w:firstLine="555"/>
        <w:jc w:val="both"/>
        <w:rPr>
          <w:color w:val="000000"/>
          <w:sz w:val="28"/>
        </w:rPr>
      </w:pPr>
      <w:bookmarkStart w:id="11" w:name="P_9276"/>
      <w:bookmarkEnd w:id="11"/>
      <w:r>
        <w:rPr>
          <w:color w:val="000000"/>
          <w:sz w:val="28"/>
        </w:rPr>
        <w:lastRenderedPageBreak/>
        <w:t xml:space="preserve">Исправление ошибок, допущенных при определении кадастровой стоимости, осуществляется Учреждением </w:t>
      </w:r>
      <w:bookmarkStart w:id="12" w:name="BLOCK_21181"/>
      <w:bookmarkStart w:id="13" w:name="P_9277"/>
      <w:bookmarkEnd w:id="12"/>
      <w:bookmarkEnd w:id="13"/>
      <w:r>
        <w:rPr>
          <w:color w:val="000000"/>
          <w:sz w:val="28"/>
        </w:rPr>
        <w:t>в течение сорока пяти календарных дн</w:t>
      </w:r>
      <w:r w:rsidR="00E57DDB">
        <w:rPr>
          <w:color w:val="000000"/>
          <w:sz w:val="28"/>
        </w:rPr>
        <w:t>ей со дня поступления Заявления</w:t>
      </w:r>
      <w:r>
        <w:rPr>
          <w:color w:val="000000"/>
          <w:sz w:val="28"/>
        </w:rPr>
        <w:t>.</w:t>
      </w:r>
    </w:p>
    <w:p w:rsidR="00105C89" w:rsidRDefault="004A79E9">
      <w:pPr>
        <w:spacing w:after="180"/>
        <w:ind w:firstLine="555"/>
        <w:jc w:val="both"/>
        <w:rPr>
          <w:color w:val="1A1A1A"/>
          <w:sz w:val="28"/>
          <w:shd w:val="clear" w:color="auto" w:fill="FFFFFF"/>
        </w:rPr>
      </w:pPr>
      <w:r>
        <w:rPr>
          <w:rFonts w:ascii="Arial" w:hAnsi="Arial"/>
          <w:b/>
          <w:color w:val="000000"/>
          <w:sz w:val="18"/>
        </w:rPr>
        <w:br/>
      </w:r>
      <w:r>
        <w:t xml:space="preserve"> </w:t>
      </w:r>
      <w:r>
        <w:rPr>
          <w:color w:val="1A1A1A"/>
          <w:sz w:val="28"/>
          <w:shd w:val="clear" w:color="auto" w:fill="FFFFFF"/>
        </w:rPr>
        <w:t>По итогам рассмотрения Заявления Учреждением принимается одно из следующих решений:</w:t>
      </w:r>
    </w:p>
    <w:p w:rsidR="00105C89" w:rsidRDefault="004A79E9">
      <w:pPr>
        <w:spacing w:after="0"/>
        <w:ind w:firstLine="420"/>
        <w:jc w:val="both"/>
        <w:rPr>
          <w:color w:val="000000"/>
          <w:sz w:val="28"/>
        </w:rPr>
      </w:pPr>
      <w:bookmarkStart w:id="14" w:name="_dx_frag_StartFragment"/>
      <w:bookmarkStart w:id="15" w:name="BLOCK_21141"/>
      <w:bookmarkStart w:id="16" w:name="P_9272"/>
      <w:bookmarkEnd w:id="14"/>
      <w:bookmarkEnd w:id="15"/>
      <w:bookmarkEnd w:id="16"/>
      <w:r>
        <w:rPr>
          <w:color w:val="000000"/>
          <w:sz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105C89" w:rsidRDefault="004A79E9">
      <w:pPr>
        <w:spacing w:after="0"/>
        <w:ind w:firstLine="420"/>
        <w:jc w:val="both"/>
        <w:rPr>
          <w:color w:val="000000"/>
          <w:sz w:val="28"/>
        </w:rPr>
      </w:pPr>
      <w:bookmarkStart w:id="17" w:name="BLOCK_21142"/>
      <w:bookmarkStart w:id="18" w:name="P_9273"/>
      <w:bookmarkEnd w:id="17"/>
      <w:bookmarkEnd w:id="18"/>
      <w:r>
        <w:rPr>
          <w:color w:val="000000"/>
          <w:sz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105C89" w:rsidRDefault="004A79E9" w:rsidP="00315307">
      <w:pPr>
        <w:spacing w:after="150"/>
        <w:ind w:firstLine="420"/>
        <w:jc w:val="both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  <w:shd w:val="clear" w:color="auto" w:fill="FFFFFF"/>
        </w:rPr>
        <w:t>Заявление с прилагаемыми документами представляетс</w:t>
      </w:r>
      <w:r w:rsidR="00E57DDB">
        <w:rPr>
          <w:color w:val="000000"/>
          <w:sz w:val="28"/>
          <w:shd w:val="clear" w:color="auto" w:fill="FFFFFF"/>
        </w:rPr>
        <w:t>я в Учреждение лично по адресу:</w:t>
      </w:r>
      <w:r w:rsidR="00E57DDB" w:rsidRPr="00E57DDB">
        <w:rPr>
          <w:color w:val="000000"/>
          <w:sz w:val="28"/>
          <w:shd w:val="clear" w:color="auto" w:fill="FFFFFF"/>
        </w:rPr>
        <w:t xml:space="preserve"> г. Анадырь, ул. Полярная, 11, либо посредством почтового отправления с описью вложения и уведомлением о вручении, либо в электронной форме (bti@chukotnet.ru) с приложением отсканированных образов прилагаемых документов, либо через МФЦ</w:t>
      </w:r>
      <w:r w:rsidR="00E57DDB">
        <w:rPr>
          <w:color w:val="000000"/>
          <w:sz w:val="28"/>
          <w:shd w:val="clear" w:color="auto" w:fill="FFFFFF"/>
        </w:rPr>
        <w:t>.</w:t>
      </w:r>
    </w:p>
    <w:p w:rsidR="00105C89" w:rsidRDefault="00105C89">
      <w:pPr>
        <w:spacing w:after="150"/>
        <w:ind w:firstLine="555"/>
        <w:jc w:val="both"/>
        <w:rPr>
          <w:color w:val="000000"/>
          <w:sz w:val="28"/>
          <w:shd w:val="clear" w:color="auto" w:fill="FFFFFF"/>
        </w:rPr>
      </w:pPr>
    </w:p>
    <w:p w:rsidR="00105C89" w:rsidRDefault="004A79E9">
      <w:pPr>
        <w:spacing w:line="275" w:lineRule="auto"/>
        <w:jc w:val="both"/>
        <w:rPr>
          <w:color w:val="212121"/>
          <w:sz w:val="28"/>
          <w:shd w:val="clear" w:color="auto" w:fill="FFFF00"/>
        </w:rPr>
      </w:pPr>
      <w:r w:rsidRPr="00657499">
        <w:rPr>
          <w:color w:val="1A1A1A"/>
          <w:sz w:val="28"/>
        </w:rPr>
        <w:t>РЕКОМЕНДУЕМАЯ ФОРМА ЗАЯВЛЕНИЯ ОБ ИСПРАВЛЕНИИ ОШИБОК В ФОРМАТЕ .</w:t>
      </w:r>
      <w:proofErr w:type="spellStart"/>
      <w:r w:rsidRPr="00657499">
        <w:rPr>
          <w:color w:val="1A1A1A"/>
          <w:sz w:val="28"/>
        </w:rPr>
        <w:t>docx</w:t>
      </w:r>
      <w:proofErr w:type="spellEnd"/>
      <w:r w:rsidRPr="00657499">
        <w:rPr>
          <w:color w:val="1A1A1A"/>
          <w:sz w:val="28"/>
        </w:rPr>
        <w:t> </w:t>
      </w:r>
      <w:hyperlink r:id="rId6" w:history="1">
        <w:r w:rsidRPr="00657499">
          <w:rPr>
            <w:rStyle w:val="a4"/>
            <w:color w:val="0FC593"/>
            <w:sz w:val="28"/>
            <w:u w:val="none"/>
          </w:rPr>
          <w:t>Скачать</w:t>
        </w:r>
      </w:hyperlink>
    </w:p>
    <w:p w:rsidR="00105C89" w:rsidRDefault="00657499">
      <w:pPr>
        <w:jc w:val="both"/>
        <w:rPr>
          <w:color w:val="212121"/>
          <w:sz w:val="28"/>
        </w:rPr>
      </w:pPr>
      <w:r>
        <w:rPr>
          <w:color w:val="000000"/>
          <w:sz w:val="28"/>
          <w:shd w:val="clear" w:color="auto" w:fill="FFFFFF"/>
        </w:rPr>
        <w:br/>
        <w:t> </w:t>
      </w:r>
      <w:r w:rsidR="004A79E9" w:rsidRPr="00657499">
        <w:rPr>
          <w:color w:val="1A1A1A"/>
          <w:sz w:val="28"/>
          <w:shd w:val="clear" w:color="auto" w:fill="FFFFFF" w:themeFill="background1"/>
        </w:rPr>
        <w:t>ТРЕБОВАНИЯ К ОФОРМЛЕНИЮ ЗАЯВЛЕНИЯ ОБ ИСПРАВЛЕНИИ ОШИБОК В ФОРМАТЕ .</w:t>
      </w:r>
      <w:proofErr w:type="spellStart"/>
      <w:r w:rsidR="004A79E9" w:rsidRPr="00657499">
        <w:rPr>
          <w:color w:val="1A1A1A"/>
          <w:sz w:val="28"/>
          <w:shd w:val="clear" w:color="auto" w:fill="FFFFFF" w:themeFill="background1"/>
        </w:rPr>
        <w:t>docx</w:t>
      </w:r>
      <w:proofErr w:type="spellEnd"/>
      <w:r w:rsidR="004A79E9" w:rsidRPr="00657499">
        <w:rPr>
          <w:color w:val="1A1A1A"/>
          <w:sz w:val="28"/>
          <w:shd w:val="clear" w:color="auto" w:fill="FFFFFF" w:themeFill="background1"/>
        </w:rPr>
        <w:t> </w:t>
      </w:r>
      <w:hyperlink r:id="rId7" w:history="1">
        <w:r w:rsidR="004A79E9" w:rsidRPr="00657499">
          <w:rPr>
            <w:rStyle w:val="a4"/>
            <w:color w:val="0FC593"/>
            <w:sz w:val="28"/>
            <w:u w:val="none"/>
            <w:shd w:val="clear" w:color="auto" w:fill="FFFFFF" w:themeFill="background1"/>
          </w:rPr>
          <w:t>Скачать</w:t>
        </w:r>
      </w:hyperlink>
    </w:p>
    <w:p w:rsidR="00105C89" w:rsidRDefault="004A79E9">
      <w:pPr>
        <w:spacing w:after="0" w:line="240" w:lineRule="auto"/>
        <w:jc w:val="both"/>
      </w:pPr>
      <w:r>
        <w:rPr>
          <w:color w:val="000000"/>
          <w:sz w:val="28"/>
          <w:shd w:val="clear" w:color="auto" w:fill="FFFFFF"/>
        </w:rPr>
        <w:t>  </w:t>
      </w:r>
    </w:p>
    <w:sectPr w:rsidR="00105C89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41A7"/>
    <w:multiLevelType w:val="hybridMultilevel"/>
    <w:tmpl w:val="9EE8A786"/>
    <w:lvl w:ilvl="0" w:tplc="35CDF548">
      <w:start w:val="1"/>
      <w:numFmt w:val="decimal"/>
      <w:lvlText w:val="%1."/>
      <w:lvlJc w:val="left"/>
      <w:pPr>
        <w:ind w:left="720" w:hanging="360"/>
      </w:pPr>
    </w:lvl>
    <w:lvl w:ilvl="1" w:tplc="0CDB1C6F">
      <w:start w:val="1"/>
      <w:numFmt w:val="decimal"/>
      <w:lvlText w:val="%2."/>
      <w:lvlJc w:val="left"/>
      <w:pPr>
        <w:ind w:left="1440" w:hanging="360"/>
      </w:pPr>
    </w:lvl>
    <w:lvl w:ilvl="2" w:tplc="62C66FE9">
      <w:start w:val="1"/>
      <w:numFmt w:val="decimal"/>
      <w:lvlText w:val="%3."/>
      <w:lvlJc w:val="left"/>
      <w:pPr>
        <w:ind w:left="2160" w:hanging="360"/>
      </w:pPr>
    </w:lvl>
    <w:lvl w:ilvl="3" w:tplc="3CF6EEF6">
      <w:start w:val="1"/>
      <w:numFmt w:val="decimal"/>
      <w:lvlText w:val="%4."/>
      <w:lvlJc w:val="left"/>
      <w:pPr>
        <w:ind w:left="2880" w:hanging="360"/>
      </w:pPr>
    </w:lvl>
    <w:lvl w:ilvl="4" w:tplc="7B48AA3B">
      <w:start w:val="1"/>
      <w:numFmt w:val="decimal"/>
      <w:lvlText w:val="%5."/>
      <w:lvlJc w:val="left"/>
      <w:pPr>
        <w:ind w:left="3600" w:hanging="360"/>
      </w:pPr>
    </w:lvl>
    <w:lvl w:ilvl="5" w:tplc="49C59F6B">
      <w:start w:val="1"/>
      <w:numFmt w:val="decimal"/>
      <w:lvlText w:val="%6."/>
      <w:lvlJc w:val="left"/>
      <w:pPr>
        <w:ind w:left="4320" w:hanging="360"/>
      </w:pPr>
    </w:lvl>
    <w:lvl w:ilvl="6" w:tplc="4AD3D967">
      <w:start w:val="1"/>
      <w:numFmt w:val="decimal"/>
      <w:lvlText w:val="%7."/>
      <w:lvlJc w:val="left"/>
      <w:pPr>
        <w:ind w:left="5040" w:hanging="360"/>
      </w:pPr>
    </w:lvl>
    <w:lvl w:ilvl="7" w:tplc="69F63521">
      <w:start w:val="1"/>
      <w:numFmt w:val="decimal"/>
      <w:lvlText w:val="%8."/>
      <w:lvlJc w:val="left"/>
      <w:pPr>
        <w:ind w:left="5760" w:hanging="360"/>
      </w:pPr>
    </w:lvl>
    <w:lvl w:ilvl="8" w:tplc="60D2230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141E847"/>
    <w:multiLevelType w:val="hybridMultilevel"/>
    <w:tmpl w:val="31B8E388"/>
    <w:lvl w:ilvl="0" w:tplc="5C96725B">
      <w:start w:val="1"/>
      <w:numFmt w:val="decimal"/>
      <w:lvlText w:val="%1."/>
      <w:lvlJc w:val="left"/>
      <w:pPr>
        <w:ind w:left="720" w:hanging="360"/>
      </w:pPr>
    </w:lvl>
    <w:lvl w:ilvl="1" w:tplc="1E6F512E">
      <w:start w:val="1"/>
      <w:numFmt w:val="decimal"/>
      <w:lvlText w:val="%2."/>
      <w:lvlJc w:val="left"/>
      <w:pPr>
        <w:ind w:left="1440" w:hanging="360"/>
      </w:pPr>
    </w:lvl>
    <w:lvl w:ilvl="2" w:tplc="61044259">
      <w:start w:val="1"/>
      <w:numFmt w:val="decimal"/>
      <w:lvlText w:val="%3."/>
      <w:lvlJc w:val="left"/>
      <w:pPr>
        <w:ind w:left="2160" w:hanging="360"/>
      </w:pPr>
    </w:lvl>
    <w:lvl w:ilvl="3" w:tplc="0C0FFD76">
      <w:start w:val="1"/>
      <w:numFmt w:val="decimal"/>
      <w:lvlText w:val="%4."/>
      <w:lvlJc w:val="left"/>
      <w:pPr>
        <w:ind w:left="2880" w:hanging="360"/>
      </w:pPr>
    </w:lvl>
    <w:lvl w:ilvl="4" w:tplc="5701AB1C">
      <w:start w:val="1"/>
      <w:numFmt w:val="decimal"/>
      <w:lvlText w:val="%5."/>
      <w:lvlJc w:val="left"/>
      <w:pPr>
        <w:ind w:left="3600" w:hanging="360"/>
      </w:pPr>
    </w:lvl>
    <w:lvl w:ilvl="5" w:tplc="41754476">
      <w:start w:val="1"/>
      <w:numFmt w:val="decimal"/>
      <w:lvlText w:val="%6."/>
      <w:lvlJc w:val="left"/>
      <w:pPr>
        <w:ind w:left="4320" w:hanging="360"/>
      </w:pPr>
    </w:lvl>
    <w:lvl w:ilvl="6" w:tplc="2E273C85">
      <w:start w:val="1"/>
      <w:numFmt w:val="decimal"/>
      <w:lvlText w:val="%7."/>
      <w:lvlJc w:val="left"/>
      <w:pPr>
        <w:ind w:left="5040" w:hanging="360"/>
      </w:pPr>
    </w:lvl>
    <w:lvl w:ilvl="7" w:tplc="14B8F643">
      <w:start w:val="1"/>
      <w:numFmt w:val="decimal"/>
      <w:lvlText w:val="%8."/>
      <w:lvlJc w:val="left"/>
      <w:pPr>
        <w:ind w:left="5760" w:hanging="360"/>
      </w:pPr>
    </w:lvl>
    <w:lvl w:ilvl="8" w:tplc="5990FF6D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070663D"/>
    <w:multiLevelType w:val="hybridMultilevel"/>
    <w:tmpl w:val="32961F4E"/>
    <w:lvl w:ilvl="0" w:tplc="157896C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487BF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34A734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F8A8B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41D9C6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33F10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FBF759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06C4A1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B94BBE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05C89"/>
    <w:rsid w:val="00105C89"/>
    <w:rsid w:val="002F3835"/>
    <w:rsid w:val="00315307"/>
    <w:rsid w:val="00355408"/>
    <w:rsid w:val="004A79E9"/>
    <w:rsid w:val="00657499"/>
    <w:rsid w:val="007067BE"/>
    <w:rsid w:val="007A3704"/>
    <w:rsid w:val="008E7467"/>
    <w:rsid w:val="009E75E4"/>
    <w:rsid w:val="00E57DDB"/>
    <w:rsid w:val="00F2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E57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gko.sakha.gov.ru/wp-content/uploads/2020/02/Rekomenduemaya-forma-zayavleniya-ob-ispravlenii-oshibk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ko.sakha.gov.ru/wp-content/uploads/2020/02/Rekomenduemaya-forma-zayavleniya-ob-ispravlenii-oshibki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Шушарин Алексей Викторович</cp:lastModifiedBy>
  <cp:revision>13</cp:revision>
  <cp:lastPrinted>2020-11-26T22:22:00Z</cp:lastPrinted>
  <dcterms:created xsi:type="dcterms:W3CDTF">2020-11-24T21:50:00Z</dcterms:created>
  <dcterms:modified xsi:type="dcterms:W3CDTF">2020-11-26T23:29:00Z</dcterms:modified>
</cp:coreProperties>
</file>